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4F2E" w14:textId="77777777" w:rsidR="00792367" w:rsidRDefault="00443C33">
      <w:pPr>
        <w:spacing w:before="46"/>
        <w:ind w:left="107"/>
        <w:jc w:val="both"/>
      </w:pPr>
      <w:r>
        <w:rPr>
          <w:spacing w:val="-2"/>
        </w:rPr>
        <w:t>Tisková</w:t>
      </w:r>
      <w:r>
        <w:rPr>
          <w:spacing w:val="1"/>
        </w:rPr>
        <w:t xml:space="preserve"> </w:t>
      </w:r>
      <w:r>
        <w:rPr>
          <w:spacing w:val="-2"/>
        </w:rPr>
        <w:t>zpráva</w:t>
      </w:r>
    </w:p>
    <w:p w14:paraId="5A677093" w14:textId="77777777" w:rsidR="00792367" w:rsidRDefault="00792367">
      <w:pPr>
        <w:pStyle w:val="Zkladntext"/>
        <w:spacing w:before="218"/>
        <w:rPr>
          <w:sz w:val="22"/>
        </w:rPr>
      </w:pPr>
    </w:p>
    <w:p w14:paraId="67B55E84" w14:textId="33F7CDA3" w:rsidR="003C210A" w:rsidRPr="003C210A" w:rsidRDefault="003C210A">
      <w:pPr>
        <w:pStyle w:val="Zkladntext"/>
        <w:spacing w:before="187"/>
        <w:rPr>
          <w:b/>
          <w:bCs/>
          <w:sz w:val="40"/>
          <w:szCs w:val="40"/>
        </w:rPr>
      </w:pPr>
      <w:r w:rsidRPr="003C210A">
        <w:rPr>
          <w:b/>
          <w:bCs/>
          <w:sz w:val="40"/>
          <w:szCs w:val="40"/>
        </w:rPr>
        <w:t>Nastává období nehod na parkovištích. Co dělat, když viník ujede?</w:t>
      </w:r>
    </w:p>
    <w:p w14:paraId="32CA8DBC" w14:textId="77777777" w:rsidR="003C210A" w:rsidRDefault="003C210A">
      <w:pPr>
        <w:spacing w:line="314" w:lineRule="auto"/>
        <w:ind w:left="107" w:right="104"/>
        <w:jc w:val="both"/>
        <w:rPr>
          <w:b/>
          <w:sz w:val="20"/>
        </w:rPr>
      </w:pPr>
    </w:p>
    <w:p w14:paraId="676CCE03" w14:textId="3C722F9B" w:rsidR="00792367" w:rsidRPr="008657FA" w:rsidRDefault="00443C33" w:rsidP="008657FA">
      <w:pPr>
        <w:spacing w:before="120" w:line="288" w:lineRule="auto"/>
        <w:ind w:right="104"/>
        <w:jc w:val="both"/>
        <w:rPr>
          <w:b/>
          <w:sz w:val="20"/>
        </w:rPr>
      </w:pPr>
      <w:r>
        <w:rPr>
          <w:b/>
          <w:sz w:val="20"/>
        </w:rPr>
        <w:t xml:space="preserve">Praha, </w:t>
      </w:r>
      <w:r w:rsidR="003C210A">
        <w:rPr>
          <w:b/>
          <w:sz w:val="20"/>
        </w:rPr>
        <w:t>4</w:t>
      </w:r>
      <w:r>
        <w:rPr>
          <w:b/>
          <w:sz w:val="20"/>
        </w:rPr>
        <w:t>. 1</w:t>
      </w:r>
      <w:r w:rsidR="003C210A">
        <w:rPr>
          <w:b/>
          <w:sz w:val="20"/>
        </w:rPr>
        <w:t>2</w:t>
      </w:r>
      <w:r>
        <w:rPr>
          <w:b/>
          <w:sz w:val="20"/>
        </w:rPr>
        <w:t xml:space="preserve">. 2024 </w:t>
      </w:r>
      <w:r w:rsidR="003C210A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3C210A" w:rsidRPr="003C210A">
        <w:rPr>
          <w:b/>
          <w:sz w:val="20"/>
        </w:rPr>
        <w:t>Předvánoční nervozita, shon, přeplněná parkoviště i takzvaní sváteční řidiči za volantem. To</w:t>
      </w:r>
      <w:r w:rsidR="003C210A">
        <w:rPr>
          <w:b/>
          <w:sz w:val="20"/>
        </w:rPr>
        <w:t> </w:t>
      </w:r>
      <w:r w:rsidR="003C210A" w:rsidRPr="003C210A">
        <w:rPr>
          <w:b/>
          <w:sz w:val="20"/>
        </w:rPr>
        <w:t xml:space="preserve">vše nahrává nepříjemným situacím, kdy se po nákupu vrátíte </w:t>
      </w:r>
      <w:r w:rsidR="00A354AE" w:rsidRPr="003C210A">
        <w:rPr>
          <w:b/>
          <w:sz w:val="20"/>
        </w:rPr>
        <w:t>třeba</w:t>
      </w:r>
      <w:r w:rsidR="00A354AE" w:rsidRPr="003C210A">
        <w:rPr>
          <w:b/>
          <w:sz w:val="20"/>
        </w:rPr>
        <w:t xml:space="preserve"> </w:t>
      </w:r>
      <w:r w:rsidR="003C210A" w:rsidRPr="003C210A">
        <w:rPr>
          <w:b/>
          <w:sz w:val="20"/>
        </w:rPr>
        <w:t>k odřenému autu či ulomenému zrcátku. Jak takové incidenty řešit? A co když viník ujede, anebo je pochybení na vaší straně?</w:t>
      </w:r>
    </w:p>
    <w:p w14:paraId="79AD4058" w14:textId="702A89AB" w:rsidR="003C210A" w:rsidRDefault="003C210A" w:rsidP="008657FA">
      <w:pPr>
        <w:pStyle w:val="Zkladntext"/>
        <w:spacing w:before="120" w:line="288" w:lineRule="auto"/>
      </w:pPr>
      <w:r>
        <w:t>Podle nejnovější analýzy Portálu nehod, který již deset let monitoruje nehody na parkovištích 15 nejnavštěvovanějších obchodních domů v Česku, se jich zde přihodí v průměru 356 za rok. Téměř pětinu těchto havárií (19,5 %) přitom tvoří předvánoční nehody – tedy ty, co se stanou v listopadu a prosinci.</w:t>
      </w:r>
    </w:p>
    <w:p w14:paraId="068A653C" w14:textId="77777777" w:rsidR="003C210A" w:rsidRDefault="003C210A" w:rsidP="008657FA">
      <w:pPr>
        <w:pStyle w:val="Zkladntext"/>
        <w:spacing w:before="120" w:line="288" w:lineRule="auto"/>
      </w:pPr>
      <w:r w:rsidRPr="003C210A">
        <w:rPr>
          <w:i/>
          <w:iCs/>
        </w:rPr>
        <w:t>„Dopravní nehody v okolí obchodních center mají svá specifika. Většinou se odehrávají při nízkých rychlostech, a tak jsou jejich následky méně vážné. Nejčastěji jde o poškození vozidel – odřeniny, promáčknutí nebo rozbitá zrcátka,“</w:t>
      </w:r>
      <w:r>
        <w:t xml:space="preserve"> komentuje </w:t>
      </w:r>
      <w:r w:rsidRPr="003C210A">
        <w:rPr>
          <w:b/>
          <w:bCs/>
        </w:rPr>
        <w:t>Petr Jedlička, vedoucí oddělení pojistné matematiky a analýz České kanceláře pojistitelů</w:t>
      </w:r>
      <w:r>
        <w:t xml:space="preserve"> (ČKP).</w:t>
      </w:r>
    </w:p>
    <w:p w14:paraId="6BC2B566" w14:textId="2B600C90" w:rsidR="00792367" w:rsidRDefault="003C210A" w:rsidP="008657FA">
      <w:pPr>
        <w:pStyle w:val="Zkladntext"/>
        <w:spacing w:before="120" w:line="288" w:lineRule="auto"/>
      </w:pPr>
      <w:r>
        <w:t xml:space="preserve">Následné řešení těchto nehod a úhrad jejich následků záleží na více okolnostech. </w:t>
      </w:r>
      <w:r w:rsidRPr="003C210A">
        <w:rPr>
          <w:i/>
          <w:iCs/>
        </w:rPr>
        <w:t>„Můžeme říci, že scénář řešení se</w:t>
      </w:r>
      <w:r>
        <w:rPr>
          <w:i/>
          <w:iCs/>
        </w:rPr>
        <w:t> </w:t>
      </w:r>
      <w:r w:rsidRPr="003C210A">
        <w:rPr>
          <w:i/>
          <w:iCs/>
        </w:rPr>
        <w:t>bude odvíjet od toho, zda je viník znám, či nikoliv, a také od toho, jaké pojištění mají účastníci uzavřeno. Odřené auto si vždy nafoťte, případně i natočte. Záběry z místa nehody se hodí při řešení události s pojišťovnou,“</w:t>
      </w:r>
      <w:r>
        <w:t xml:space="preserve"> říká </w:t>
      </w:r>
      <w:r w:rsidRPr="003C210A">
        <w:rPr>
          <w:b/>
          <w:bCs/>
        </w:rPr>
        <w:t>Aleš Rothbarth, obchodní ředitel Skupiny Klik.cz</w:t>
      </w:r>
      <w:r>
        <w:t>.</w:t>
      </w:r>
    </w:p>
    <w:p w14:paraId="5AA7261C" w14:textId="4259E239" w:rsidR="00792367" w:rsidRDefault="003C210A" w:rsidP="008657FA">
      <w:pPr>
        <w:pStyle w:val="Nadpis1"/>
        <w:spacing w:before="120" w:line="288" w:lineRule="auto"/>
        <w:ind w:left="0"/>
      </w:pPr>
      <w:r>
        <w:t>Viník neodjel</w:t>
      </w:r>
    </w:p>
    <w:p w14:paraId="6CA41436" w14:textId="0CE09255" w:rsidR="00792367" w:rsidRDefault="003C210A" w:rsidP="008657FA">
      <w:pPr>
        <w:pStyle w:val="Zkladntext"/>
        <w:spacing w:before="120" w:line="288" w:lineRule="auto"/>
      </w:pPr>
      <w:r w:rsidRPr="003C210A">
        <w:t xml:space="preserve">V případě, že viník nehody neodjede vás potkala ta lepší a méně komplikovaná varianta. Náhrada škody se zaplatí </w:t>
      </w:r>
      <w:r>
        <w:t>z </w:t>
      </w:r>
      <w:r w:rsidRPr="003C210A">
        <w:t xml:space="preserve">jeho povinného ručení. </w:t>
      </w:r>
      <w:r w:rsidRPr="003C210A">
        <w:rPr>
          <w:i/>
          <w:iCs/>
        </w:rPr>
        <w:t>„Je-li vzniklá škoda nižší než 100 tisíc korun a nedošlo ke zranění, nemusíte k nehodě volat policii. Vždy však vyplňte záznam o dopravní nehodě,“</w:t>
      </w:r>
      <w:r w:rsidRPr="003C210A">
        <w:t xml:space="preserve"> upozorňuje Aleš Rothbarth. „</w:t>
      </w:r>
      <w:r w:rsidRPr="003C210A">
        <w:rPr>
          <w:i/>
          <w:iCs/>
        </w:rPr>
        <w:t xml:space="preserve">Pokud ale nastane situace, kdy viník nechce vinu uznat, je přivolání policie na místě,“ </w:t>
      </w:r>
      <w:r w:rsidRPr="003C210A">
        <w:t>dodává.</w:t>
      </w:r>
    </w:p>
    <w:p w14:paraId="6DA852E7" w14:textId="6927CA06" w:rsidR="00792367" w:rsidRDefault="003C210A" w:rsidP="008657FA">
      <w:pPr>
        <w:pStyle w:val="Nadpis1"/>
        <w:spacing w:before="120" w:line="288" w:lineRule="auto"/>
        <w:ind w:left="0"/>
      </w:pPr>
      <w:r>
        <w:t>Viník je neznámý</w:t>
      </w:r>
    </w:p>
    <w:p w14:paraId="0B4634B1" w14:textId="0BCD29D2" w:rsidR="00792367" w:rsidRDefault="003C210A" w:rsidP="008657FA">
      <w:pPr>
        <w:pStyle w:val="Zkladntext"/>
        <w:spacing w:before="120" w:line="288" w:lineRule="auto"/>
        <w:ind w:right="106"/>
      </w:pPr>
      <w:r w:rsidRPr="003C210A">
        <w:rPr>
          <w:szCs w:val="22"/>
        </w:rPr>
        <w:t xml:space="preserve">Horší scénář je ten, že řidič, který nehodu způsobil, odjede. V tomto případě vždy volejte policii. </w:t>
      </w:r>
      <w:r w:rsidRPr="003C210A">
        <w:rPr>
          <w:i/>
          <w:iCs/>
          <w:szCs w:val="22"/>
        </w:rPr>
        <w:t>„Policisté vám pomohou shromáždit důkazy v podobě například kamerových záznamů nebo svědků a sepíšou s vámi protokol, který budete následně potřebovat při jednání s pojišťovnou. Sami se poptejte kolemjdoucích, jestli danou událost nezahlédli. Svědky nehody se můžete pokusit najít také v různých skupinách na sociálních sítích. Největší šanci na</w:t>
      </w:r>
      <w:r>
        <w:rPr>
          <w:i/>
          <w:iCs/>
          <w:szCs w:val="22"/>
        </w:rPr>
        <w:t> </w:t>
      </w:r>
      <w:r w:rsidRPr="003C210A">
        <w:rPr>
          <w:i/>
          <w:iCs/>
          <w:szCs w:val="22"/>
        </w:rPr>
        <w:t xml:space="preserve">vypátrání viníka nehody dávají kamerové záznamy. Soukromá parkoviště u obchodů bývají monitorována přímo majitelem objektu, veřejná pak bezpečnostními kamerami. Využít můžete i záběry z palubních kamer, na kterých bývá možné nastavit automatické nahrávání při nárazu do auta,“ </w:t>
      </w:r>
      <w:r w:rsidRPr="003C210A">
        <w:rPr>
          <w:szCs w:val="22"/>
        </w:rPr>
        <w:t>radí Aleš Rothbarth.</w:t>
      </w:r>
    </w:p>
    <w:p w14:paraId="0ED3F137" w14:textId="5C107077" w:rsidR="003C210A" w:rsidRDefault="003C210A" w:rsidP="008657FA">
      <w:pPr>
        <w:pStyle w:val="Nadpis1"/>
        <w:spacing w:before="120" w:line="288" w:lineRule="auto"/>
        <w:ind w:left="0"/>
      </w:pPr>
      <w:r>
        <w:t>Kdo uhradí škodu?</w:t>
      </w:r>
    </w:p>
    <w:p w14:paraId="0738A169" w14:textId="1FC9BFD0" w:rsidR="003C210A" w:rsidRDefault="003C210A" w:rsidP="008657FA">
      <w:pPr>
        <w:pStyle w:val="Zkladntext"/>
        <w:spacing w:before="120" w:line="288" w:lineRule="auto"/>
        <w:rPr>
          <w:szCs w:val="22"/>
        </w:rPr>
      </w:pPr>
      <w:r w:rsidRPr="003C210A">
        <w:rPr>
          <w:szCs w:val="22"/>
        </w:rPr>
        <w:t xml:space="preserve">Pokud se viník nehody nenajde, bude se úhrada škody odvíjet od toho, jestli máte havarijní pojištění. Nejste-li pojištěni, budete si muset opravu zaplatit sami. </w:t>
      </w:r>
      <w:r w:rsidRPr="003C210A">
        <w:rPr>
          <w:i/>
          <w:iCs/>
          <w:szCs w:val="22"/>
        </w:rPr>
        <w:t>„V případě, že havarijní pojištění máte, půjde náhrada škody z této pojistky,“</w:t>
      </w:r>
      <w:r w:rsidRPr="003C210A">
        <w:rPr>
          <w:szCs w:val="22"/>
        </w:rPr>
        <w:t xml:space="preserve"> říká Rothbarth.</w:t>
      </w:r>
    </w:p>
    <w:p w14:paraId="00C83788" w14:textId="77777777" w:rsidR="008657FA" w:rsidRDefault="008657FA">
      <w:pPr>
        <w:rPr>
          <w:b/>
          <w:sz w:val="24"/>
          <w:szCs w:val="24"/>
        </w:rPr>
      </w:pPr>
      <w:r>
        <w:rPr>
          <w:bCs/>
        </w:rPr>
        <w:br w:type="page"/>
      </w:r>
    </w:p>
    <w:p w14:paraId="6F157168" w14:textId="6EE921F2" w:rsidR="003C210A" w:rsidRDefault="003C210A" w:rsidP="008657FA">
      <w:pPr>
        <w:pStyle w:val="Nadpis1"/>
        <w:spacing w:before="120" w:line="288" w:lineRule="auto"/>
        <w:ind w:left="0"/>
      </w:pPr>
      <w:r>
        <w:rPr>
          <w:bCs w:val="0"/>
        </w:rPr>
        <w:lastRenderedPageBreak/>
        <w:t>Vina na vaší straně</w:t>
      </w:r>
    </w:p>
    <w:p w14:paraId="65CA2812" w14:textId="7E3C6B31" w:rsidR="003C210A" w:rsidRDefault="003C210A" w:rsidP="008657FA">
      <w:pPr>
        <w:pStyle w:val="Zkladntext"/>
        <w:spacing w:before="120" w:line="288" w:lineRule="auto"/>
        <w:rPr>
          <w:bCs/>
        </w:rPr>
      </w:pPr>
      <w:r>
        <w:rPr>
          <w:bCs/>
        </w:rPr>
        <w:t>Po</w:t>
      </w:r>
      <w:r w:rsidRPr="003C210A">
        <w:rPr>
          <w:bCs/>
        </w:rPr>
        <w:t xml:space="preserve">kud nehodu zaviníte vy a majitel není u nabouraného auta přítomen, správně byste měli zavolat policii. Ta s vámi sepíše potřebné náležitosti a kontaktuje majitele vozu. Škodu za vás pak zaplatí pojišťovna z vašeho povinného ručení. </w:t>
      </w:r>
      <w:r w:rsidRPr="00006DDF">
        <w:rPr>
          <w:bCs/>
          <w:i/>
          <w:iCs/>
        </w:rPr>
        <w:t>„Pokud byste odjeli bez ohlášení, hrozila by vám pokuta až pět tisíc korun za ujetí od autonehody a sedm trestných bodů,“</w:t>
      </w:r>
      <w:r w:rsidRPr="003C210A">
        <w:rPr>
          <w:bCs/>
        </w:rPr>
        <w:t xml:space="preserve"> varuje Aleš Rothbarth.</w:t>
      </w:r>
    </w:p>
    <w:p w14:paraId="330A5F16" w14:textId="42E68A98" w:rsidR="003C210A" w:rsidRDefault="003C210A" w:rsidP="008657FA">
      <w:pPr>
        <w:pStyle w:val="Nadpis1"/>
        <w:spacing w:before="120" w:line="288" w:lineRule="auto"/>
        <w:ind w:left="0"/>
      </w:pPr>
      <w:r>
        <w:rPr>
          <w:bCs w:val="0"/>
        </w:rPr>
        <w:t>Kde si dávat opravdu pozor</w:t>
      </w:r>
    </w:p>
    <w:p w14:paraId="173FBC7E" w14:textId="5C48117C" w:rsidR="003C210A" w:rsidRPr="003C210A" w:rsidRDefault="003C210A" w:rsidP="008657FA">
      <w:pPr>
        <w:pStyle w:val="Zkladntext"/>
        <w:spacing w:before="120" w:line="288" w:lineRule="auto"/>
        <w:rPr>
          <w:bCs/>
        </w:rPr>
      </w:pPr>
      <w:r w:rsidRPr="003C210A">
        <w:rPr>
          <w:bCs/>
        </w:rPr>
        <w:t>Podle Portálu nehod vede v počtu dopravních nehod u obchodních center Praha. Nejrizikovějšími místy jsou OC Westfield Chodov, OC Nový Smíchov na Andělu a pražský Zličín. V součtu se zde za deset let monitoringu událo 1 141 nehod. Na zmíněném parkovišti u OC Westfield Chodov se v listopadu a prosinci přihodí dokonce 27 % všech „parkovištních“ nehod z celého roku. Mimo Prahu je problematické parkoviště u ostravského nákupního centra Nová Karolina, kde se v předvánočním období stane 19 % všech dopravních nehod na parkovišti během roku. Stejný podíl je</w:t>
      </w:r>
      <w:r>
        <w:rPr>
          <w:bCs/>
        </w:rPr>
        <w:t> </w:t>
      </w:r>
      <w:r w:rsidRPr="003C210A">
        <w:rPr>
          <w:bCs/>
        </w:rPr>
        <w:t>zaznamenán také v Brně na parkovišti u Olympia Brno.</w:t>
      </w:r>
    </w:p>
    <w:p w14:paraId="376A6C5C" w14:textId="032EED64" w:rsidR="003C210A" w:rsidRDefault="003C210A" w:rsidP="008657FA">
      <w:pPr>
        <w:pStyle w:val="Zkladntext"/>
        <w:spacing w:before="120" w:line="288" w:lineRule="auto"/>
        <w:rPr>
          <w:bCs/>
        </w:rPr>
      </w:pPr>
      <w:r w:rsidRPr="003C210A">
        <w:rPr>
          <w:bCs/>
        </w:rPr>
        <w:t>Patří ještě dodat, že častou příčinnou kolizí na parkovištích je nedání přednosti v jízdě, respektive nerespektování pravidla přednosti zprava.</w:t>
      </w:r>
    </w:p>
    <w:p w14:paraId="0F43EA65" w14:textId="77777777" w:rsidR="003C210A" w:rsidRDefault="003C210A" w:rsidP="003C210A">
      <w:pPr>
        <w:pStyle w:val="Zkladntext"/>
        <w:spacing w:before="120"/>
        <w:rPr>
          <w:bCs/>
        </w:rPr>
      </w:pPr>
    </w:p>
    <w:p w14:paraId="4E925E11" w14:textId="77777777" w:rsidR="003C210A" w:rsidRPr="003C210A" w:rsidRDefault="003C210A" w:rsidP="003C210A">
      <w:pPr>
        <w:pStyle w:val="Zkladntext"/>
        <w:spacing w:before="120"/>
        <w:rPr>
          <w:bCs/>
        </w:rPr>
      </w:pPr>
    </w:p>
    <w:p w14:paraId="47B98F19" w14:textId="2D8565E0" w:rsidR="00792367" w:rsidRDefault="00443C33" w:rsidP="005A4C9F">
      <w:pPr>
        <w:pStyle w:val="Zkladntext"/>
        <w:spacing w:before="4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42EA9D" wp14:editId="5A2F5922">
                <wp:simplePos x="0" y="0"/>
                <wp:positionH relativeFrom="page">
                  <wp:posOffset>829055</wp:posOffset>
                </wp:positionH>
                <wp:positionV relativeFrom="paragraph">
                  <wp:posOffset>199703</wp:posOffset>
                </wp:positionV>
                <wp:extent cx="19608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45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21F3" id="Graphic 18" o:spid="_x0000_s1026" style="position:absolute;margin-left:65.3pt;margin-top:15.7pt;width:154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BFFAIAAFsEAAAOAAAAZHJzL2Uyb0RvYy54bWysVMFu2zAMvQ/YPwi6L06Crk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" path="m,l1960452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721307CE" w14:textId="77777777" w:rsidR="005A4C9F" w:rsidRDefault="005A4C9F" w:rsidP="005A4C9F">
      <w:pPr>
        <w:pStyle w:val="Zkladntext"/>
        <w:spacing w:before="46"/>
        <w:rPr>
          <w:b/>
        </w:rPr>
      </w:pPr>
    </w:p>
    <w:p w14:paraId="34B39883" w14:textId="77777777" w:rsidR="00792367" w:rsidRDefault="00443C33">
      <w:pPr>
        <w:spacing w:line="276" w:lineRule="auto"/>
        <w:ind w:left="107" w:right="7783"/>
        <w:rPr>
          <w:sz w:val="20"/>
        </w:rPr>
      </w:pPr>
      <w:r>
        <w:rPr>
          <w:sz w:val="20"/>
        </w:rPr>
        <w:t xml:space="preserve">Kontakt pro média: </w:t>
      </w:r>
      <w:r>
        <w:rPr>
          <w:b/>
          <w:sz w:val="20"/>
        </w:rPr>
        <w:t>Vladimíra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Kolaříková </w:t>
      </w:r>
      <w:r>
        <w:rPr>
          <w:sz w:val="20"/>
        </w:rPr>
        <w:t>PR manager</w:t>
      </w:r>
    </w:p>
    <w:p w14:paraId="68EE98AD" w14:textId="77777777" w:rsidR="00792367" w:rsidRDefault="00443C33">
      <w:pPr>
        <w:pStyle w:val="Zkladntext"/>
        <w:spacing w:before="1"/>
        <w:ind w:left="107"/>
      </w:pPr>
      <w:r>
        <w:t>tel.:</w:t>
      </w:r>
      <w:r>
        <w:rPr>
          <w:spacing w:val="-5"/>
        </w:rPr>
        <w:t xml:space="preserve"> </w:t>
      </w:r>
      <w:r>
        <w:t>+420</w:t>
      </w:r>
      <w:r>
        <w:rPr>
          <w:spacing w:val="-4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408</w:t>
      </w:r>
      <w:r>
        <w:rPr>
          <w:spacing w:val="-6"/>
        </w:rPr>
        <w:t xml:space="preserve"> </w:t>
      </w:r>
      <w:r>
        <w:rPr>
          <w:spacing w:val="-5"/>
        </w:rPr>
        <w:t>539</w:t>
      </w:r>
    </w:p>
    <w:p w14:paraId="246422CE" w14:textId="77777777" w:rsidR="00792367" w:rsidRDefault="00443C33">
      <w:pPr>
        <w:pStyle w:val="Zkladntext"/>
        <w:spacing w:before="36"/>
        <w:ind w:left="107"/>
      </w:pPr>
      <w:r>
        <w:t>e-mail:</w:t>
      </w:r>
      <w:r>
        <w:rPr>
          <w:spacing w:val="-6"/>
        </w:rPr>
        <w:t xml:space="preserve"> </w:t>
      </w:r>
      <w:hyperlink r:id="rId7">
        <w:r w:rsidR="00792367">
          <w:rPr>
            <w:spacing w:val="-2"/>
            <w:u w:val="single"/>
          </w:rPr>
          <w:t>vladimira.kolarikova@klik.cz</w:t>
        </w:r>
      </w:hyperlink>
    </w:p>
    <w:sectPr w:rsidR="00792367">
      <w:headerReference w:type="default" r:id="rId8"/>
      <w:footerReference w:type="default" r:id="rId9"/>
      <w:pgSz w:w="11910" w:h="16840"/>
      <w:pgMar w:top="1640" w:right="1140" w:bottom="1300" w:left="1140" w:header="936" w:footer="1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E56C" w14:textId="77777777" w:rsidR="00C02D74" w:rsidRDefault="00C02D74">
      <w:r>
        <w:separator/>
      </w:r>
    </w:p>
  </w:endnote>
  <w:endnote w:type="continuationSeparator" w:id="0">
    <w:p w14:paraId="36F7AD0E" w14:textId="77777777" w:rsidR="00C02D74" w:rsidRDefault="00C0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3E92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21792" behindDoc="1" locked="0" layoutInCell="1" allowOverlap="1" wp14:anchorId="4F8A7E2C" wp14:editId="0F173667">
          <wp:simplePos x="0" y="0"/>
          <wp:positionH relativeFrom="page">
            <wp:posOffset>789431</wp:posOffset>
          </wp:positionH>
          <wp:positionV relativeFrom="page">
            <wp:posOffset>10137647</wp:posOffset>
          </wp:positionV>
          <wp:extent cx="6071615" cy="195072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1615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304" behindDoc="1" locked="0" layoutInCell="1" allowOverlap="1" wp14:anchorId="088ECDC9" wp14:editId="69794C9E">
          <wp:simplePos x="0" y="0"/>
          <wp:positionH relativeFrom="page">
            <wp:posOffset>1584959</wp:posOffset>
          </wp:positionH>
          <wp:positionV relativeFrom="page">
            <wp:posOffset>9860279</wp:posOffset>
          </wp:positionV>
          <wp:extent cx="4535424" cy="22860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35424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69AE" w14:textId="77777777" w:rsidR="00C02D74" w:rsidRDefault="00C02D74">
      <w:r>
        <w:separator/>
      </w:r>
    </w:p>
  </w:footnote>
  <w:footnote w:type="continuationSeparator" w:id="0">
    <w:p w14:paraId="7DC452B8" w14:textId="77777777" w:rsidR="00C02D74" w:rsidRDefault="00C0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782F" w14:textId="77777777" w:rsidR="00792367" w:rsidRDefault="00443C33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20768" behindDoc="1" locked="0" layoutInCell="1" allowOverlap="1" wp14:anchorId="1123727C" wp14:editId="17EBCC60">
          <wp:simplePos x="0" y="0"/>
          <wp:positionH relativeFrom="page">
            <wp:posOffset>786383</wp:posOffset>
          </wp:positionH>
          <wp:positionV relativeFrom="page">
            <wp:posOffset>594360</wp:posOffset>
          </wp:positionV>
          <wp:extent cx="1764791" cy="216407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4791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C0C43BC" wp14:editId="0D8F5A5E">
              <wp:simplePos x="0" y="0"/>
              <wp:positionH relativeFrom="page">
                <wp:posOffset>6571488</wp:posOffset>
              </wp:positionH>
              <wp:positionV relativeFrom="page">
                <wp:posOffset>718435</wp:posOffset>
              </wp:positionV>
              <wp:extent cx="211454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CA020" w14:textId="77777777" w:rsidR="00792367" w:rsidRDefault="00443C3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E4087C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3F3F3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C43B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17.45pt;margin-top:56.55pt;width:16.65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" filled="f" stroked="f">
              <v:textbox inset="0,0,0,0">
                <w:txbxContent>
                  <w:p w14:paraId="07ACA020" w14:textId="77777777" w:rsidR="00792367" w:rsidRDefault="00443C33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E4087C"/>
                        <w:spacing w:val="-5"/>
                        <w:sz w:val="18"/>
                      </w:rPr>
                      <w:t>/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3F3F3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57926"/>
    <w:multiLevelType w:val="hybridMultilevel"/>
    <w:tmpl w:val="EE8E5CE6"/>
    <w:lvl w:ilvl="0" w:tplc="5F662D86">
      <w:numFmt w:val="bullet"/>
      <w:lvlText w:val="•"/>
      <w:lvlJc w:val="left"/>
      <w:pPr>
        <w:ind w:left="348" w:hanging="226"/>
      </w:pPr>
      <w:rPr>
        <w:rFonts w:ascii="Calibri" w:eastAsia="Calibri" w:hAnsi="Calibri" w:cs="Calibri" w:hint="default"/>
        <w:b w:val="0"/>
        <w:bCs w:val="0"/>
        <w:i w:val="0"/>
        <w:iCs w:val="0"/>
        <w:color w:val="E4087C"/>
        <w:spacing w:val="0"/>
        <w:w w:val="100"/>
        <w:sz w:val="16"/>
        <w:szCs w:val="16"/>
        <w:lang w:val="cs-CZ" w:eastAsia="en-US" w:bidi="ar-SA"/>
      </w:rPr>
    </w:lvl>
    <w:lvl w:ilvl="1" w:tplc="D7B835FC">
      <w:numFmt w:val="bullet"/>
      <w:lvlText w:val="•"/>
      <w:lvlJc w:val="left"/>
      <w:pPr>
        <w:ind w:left="831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E4087C"/>
        <w:spacing w:val="0"/>
        <w:w w:val="100"/>
        <w:sz w:val="16"/>
        <w:szCs w:val="16"/>
        <w:lang w:val="cs-CZ" w:eastAsia="en-US" w:bidi="ar-SA"/>
      </w:rPr>
    </w:lvl>
    <w:lvl w:ilvl="2" w:tplc="8F10FB3C">
      <w:numFmt w:val="bullet"/>
      <w:lvlText w:val="•"/>
      <w:lvlJc w:val="left"/>
      <w:pPr>
        <w:ind w:left="1816" w:hanging="348"/>
      </w:pPr>
      <w:rPr>
        <w:rFonts w:hint="default"/>
        <w:lang w:val="cs-CZ" w:eastAsia="en-US" w:bidi="ar-SA"/>
      </w:rPr>
    </w:lvl>
    <w:lvl w:ilvl="3" w:tplc="C65EB316">
      <w:numFmt w:val="bullet"/>
      <w:lvlText w:val="•"/>
      <w:lvlJc w:val="left"/>
      <w:pPr>
        <w:ind w:left="2792" w:hanging="348"/>
      </w:pPr>
      <w:rPr>
        <w:rFonts w:hint="default"/>
        <w:lang w:val="cs-CZ" w:eastAsia="en-US" w:bidi="ar-SA"/>
      </w:rPr>
    </w:lvl>
    <w:lvl w:ilvl="4" w:tplc="C45A3822">
      <w:numFmt w:val="bullet"/>
      <w:lvlText w:val="•"/>
      <w:lvlJc w:val="left"/>
      <w:pPr>
        <w:ind w:left="3768" w:hanging="348"/>
      </w:pPr>
      <w:rPr>
        <w:rFonts w:hint="default"/>
        <w:lang w:val="cs-CZ" w:eastAsia="en-US" w:bidi="ar-SA"/>
      </w:rPr>
    </w:lvl>
    <w:lvl w:ilvl="5" w:tplc="CB8E84DE">
      <w:numFmt w:val="bullet"/>
      <w:lvlText w:val="•"/>
      <w:lvlJc w:val="left"/>
      <w:pPr>
        <w:ind w:left="4745" w:hanging="348"/>
      </w:pPr>
      <w:rPr>
        <w:rFonts w:hint="default"/>
        <w:lang w:val="cs-CZ" w:eastAsia="en-US" w:bidi="ar-SA"/>
      </w:rPr>
    </w:lvl>
    <w:lvl w:ilvl="6" w:tplc="D74284F2">
      <w:numFmt w:val="bullet"/>
      <w:lvlText w:val="•"/>
      <w:lvlJc w:val="left"/>
      <w:pPr>
        <w:ind w:left="5721" w:hanging="348"/>
      </w:pPr>
      <w:rPr>
        <w:rFonts w:hint="default"/>
        <w:lang w:val="cs-CZ" w:eastAsia="en-US" w:bidi="ar-SA"/>
      </w:rPr>
    </w:lvl>
    <w:lvl w:ilvl="7" w:tplc="BEB47E34">
      <w:numFmt w:val="bullet"/>
      <w:lvlText w:val="•"/>
      <w:lvlJc w:val="left"/>
      <w:pPr>
        <w:ind w:left="6697" w:hanging="348"/>
      </w:pPr>
      <w:rPr>
        <w:rFonts w:hint="default"/>
        <w:lang w:val="cs-CZ" w:eastAsia="en-US" w:bidi="ar-SA"/>
      </w:rPr>
    </w:lvl>
    <w:lvl w:ilvl="8" w:tplc="32345066">
      <w:numFmt w:val="bullet"/>
      <w:lvlText w:val="•"/>
      <w:lvlJc w:val="left"/>
      <w:pPr>
        <w:ind w:left="7673" w:hanging="348"/>
      </w:pPr>
      <w:rPr>
        <w:rFonts w:hint="default"/>
        <w:lang w:val="cs-CZ" w:eastAsia="en-US" w:bidi="ar-SA"/>
      </w:rPr>
    </w:lvl>
  </w:abstractNum>
  <w:num w:numId="1" w16cid:durableId="201136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7"/>
    <w:rsid w:val="00006DDF"/>
    <w:rsid w:val="0017507D"/>
    <w:rsid w:val="001A3B29"/>
    <w:rsid w:val="002A3B07"/>
    <w:rsid w:val="003760EC"/>
    <w:rsid w:val="003C210A"/>
    <w:rsid w:val="00443C33"/>
    <w:rsid w:val="0051358C"/>
    <w:rsid w:val="005A4619"/>
    <w:rsid w:val="005A4C9F"/>
    <w:rsid w:val="005B7125"/>
    <w:rsid w:val="00792367"/>
    <w:rsid w:val="00792930"/>
    <w:rsid w:val="007D093A"/>
    <w:rsid w:val="008657FA"/>
    <w:rsid w:val="008D5AF9"/>
    <w:rsid w:val="0095362A"/>
    <w:rsid w:val="00975DF6"/>
    <w:rsid w:val="00A354AE"/>
    <w:rsid w:val="00BC6803"/>
    <w:rsid w:val="00C02D74"/>
    <w:rsid w:val="00CA319E"/>
    <w:rsid w:val="00CF4420"/>
    <w:rsid w:val="00CF70C8"/>
    <w:rsid w:val="00D05B0F"/>
    <w:rsid w:val="00F9279E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1DF"/>
  <w15:docId w15:val="{4E8EABCB-6017-401B-9408-6B54D37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07" w:right="2528"/>
      <w:jc w:val="both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76"/>
      <w:ind w:left="389" w:hanging="224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3C210A"/>
    <w:rPr>
      <w:rFonts w:ascii="Calibri" w:eastAsia="Calibri" w:hAnsi="Calibri" w:cs="Calibri"/>
      <w:b/>
      <w:bCs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mira.kolarikova@kl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TZ_Skupina Klikcz_Pruzkum_nepovinne pojisteni</dc:title>
  <dc:creator>Vladimira Kolarikova</dc:creator>
  <cp:lastModifiedBy>Vladimira Kolarikova</cp:lastModifiedBy>
  <cp:revision>13</cp:revision>
  <dcterms:created xsi:type="dcterms:W3CDTF">2024-11-20T08:31:00Z</dcterms:created>
  <dcterms:modified xsi:type="dcterms:W3CDTF">2024-12-04T11:07:00Z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</Properties>
</file>